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line="640" w:lineRule="exact"/>
        <w:jc w:val="center"/>
        <w:rPr>
          <w:rStyle w:val="9"/>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pPr>
    </w:p>
    <w:p>
      <w:pPr>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val="0"/>
          <w:sz w:val="44"/>
          <w:szCs w:val="44"/>
        </w:rPr>
      </w:pPr>
      <w:r>
        <w:rPr>
          <w:rFonts w:hint="eastAsia" w:ascii="仿宋" w:hAnsi="仿宋" w:eastAsia="仿宋" w:cs="仿宋"/>
          <w:b/>
          <w:bCs w:val="0"/>
          <w:sz w:val="44"/>
          <w:szCs w:val="44"/>
        </w:rPr>
        <w:t>2018年英吉沙县</w:t>
      </w:r>
      <w:r>
        <w:rPr>
          <w:rFonts w:hint="eastAsia" w:ascii="仿宋" w:hAnsi="仿宋" w:eastAsia="仿宋" w:cs="仿宋"/>
          <w:b/>
          <w:bCs w:val="0"/>
          <w:sz w:val="44"/>
          <w:szCs w:val="44"/>
          <w:lang w:eastAsia="zh-CN"/>
        </w:rPr>
        <w:t>农村基础建设</w:t>
      </w:r>
      <w:bookmarkStart w:id="0" w:name="_GoBack"/>
      <w:bookmarkEnd w:id="0"/>
      <w:r>
        <w:rPr>
          <w:rFonts w:hint="eastAsia" w:ascii="仿宋" w:hAnsi="仿宋" w:eastAsia="仿宋" w:cs="仿宋"/>
          <w:b/>
          <w:bCs w:val="0"/>
          <w:sz w:val="44"/>
          <w:szCs w:val="44"/>
        </w:rPr>
        <w:t>项目</w:t>
      </w:r>
    </w:p>
    <w:p>
      <w:pPr>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val="0"/>
          <w:sz w:val="44"/>
          <w:szCs w:val="44"/>
        </w:rPr>
      </w:pPr>
      <w:r>
        <w:rPr>
          <w:rFonts w:hint="eastAsia" w:ascii="仿宋" w:hAnsi="仿宋" w:eastAsia="仿宋" w:cs="仿宋"/>
          <w:b/>
          <w:bCs w:val="0"/>
          <w:sz w:val="44"/>
          <w:szCs w:val="44"/>
        </w:rPr>
        <w:t>绩效自评报告</w:t>
      </w:r>
    </w:p>
    <w:p>
      <w:pPr>
        <w:spacing w:before="0" w:line="590" w:lineRule="exact"/>
        <w:jc w:val="left"/>
        <w:rPr>
          <w:rStyle w:val="9"/>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pPr>
    </w:p>
    <w:p>
      <w:pPr>
        <w:pageBreakBefore w:val="0"/>
        <w:widowControl w:val="0"/>
        <w:kinsoku/>
        <w:wordWrap/>
        <w:overflowPunct/>
        <w:topLinePunct w:val="0"/>
        <w:autoSpaceDE/>
        <w:bidi w:val="0"/>
        <w:adjustRightInd/>
        <w:snapToGrid/>
        <w:spacing w:line="570" w:lineRule="exact"/>
        <w:ind w:firstLine="640" w:firstLineChars="200"/>
        <w:jc w:val="both"/>
        <w:textAlignment w:val="auto"/>
        <w:rPr>
          <w:rFonts w:hint="eastAsia" w:ascii="黑体" w:hAnsi="黑体" w:eastAsia="黑体" w:cs="仿宋_GB2312"/>
          <w:bCs/>
          <w:sz w:val="30"/>
          <w:szCs w:val="30"/>
        </w:rPr>
      </w:pPr>
      <w:r>
        <w:rPr>
          <w:rFonts w:hint="eastAsia" w:ascii="黑体" w:hAnsi="黑体" w:eastAsia="黑体" w:cs="黑体"/>
          <w:kern w:val="2"/>
          <w:sz w:val="32"/>
          <w:szCs w:val="32"/>
        </w:rPr>
        <w:t>一、项目基本情况</w:t>
      </w:r>
    </w:p>
    <w:p>
      <w:pPr>
        <w:adjustRightInd w:val="0"/>
        <w:snapToGrid w:val="0"/>
        <w:spacing w:line="360" w:lineRule="auto"/>
        <w:ind w:firstLine="600" w:firstLineChars="200"/>
        <w:rPr>
          <w:rFonts w:hint="eastAsia" w:ascii="仿宋_GB2312" w:hAnsi="仿宋_GB2312" w:eastAsia="仿宋_GB2312" w:cs="仿宋_GB2312"/>
          <w:b w:val="0"/>
          <w:bCs w:val="0"/>
          <w:color w:val="000000"/>
          <w:sz w:val="32"/>
          <w:szCs w:val="32"/>
          <w:highlight w:val="none"/>
          <w:lang w:eastAsia="zh-CN"/>
        </w:rPr>
      </w:pPr>
      <w:r>
        <w:rPr>
          <w:rFonts w:hint="eastAsia" w:ascii="仿宋_GB2312" w:hAnsi="宋体" w:eastAsia="仿宋_GB2312" w:cs="仿宋_GB2312"/>
          <w:sz w:val="30"/>
          <w:szCs w:val="30"/>
        </w:rPr>
        <w:t xml:space="preserve"> </w:t>
      </w:r>
      <w:r>
        <w:rPr>
          <w:rFonts w:hint="eastAsia" w:ascii="仿宋_GB2312" w:hAnsi="宋体" w:eastAsia="仿宋_GB2312"/>
          <w:sz w:val="30"/>
          <w:szCs w:val="30"/>
        </w:rPr>
        <w:t>本项目(</w:t>
      </w:r>
      <w:r>
        <w:rPr>
          <w:rFonts w:hint="eastAsia" w:ascii="仿宋_GB2312" w:hAnsi="宋体" w:eastAsia="仿宋_GB2312"/>
          <w:sz w:val="30"/>
          <w:szCs w:val="30"/>
          <w:lang w:eastAsia="zh-CN"/>
        </w:rPr>
        <w:t>农村基础设施建设</w:t>
      </w:r>
      <w:r>
        <w:rPr>
          <w:rFonts w:hint="eastAsia" w:ascii="仿宋_GB2312" w:hAnsi="宋体" w:eastAsia="仿宋_GB2312"/>
          <w:sz w:val="30"/>
          <w:szCs w:val="30"/>
        </w:rPr>
        <w:t>)总预算投资为</w:t>
      </w:r>
      <w:r>
        <w:rPr>
          <w:rFonts w:hint="eastAsia" w:ascii="仿宋_GB2312" w:hAnsi="宋体" w:eastAsia="仿宋_GB2312"/>
          <w:sz w:val="30"/>
          <w:szCs w:val="30"/>
          <w:lang w:val="en-US" w:eastAsia="zh-CN"/>
        </w:rPr>
        <w:t>1510.22</w:t>
      </w:r>
      <w:r>
        <w:rPr>
          <w:rFonts w:hint="eastAsia" w:ascii="仿宋_GB2312" w:hAnsi="宋体" w:eastAsia="仿宋_GB2312"/>
          <w:sz w:val="30"/>
          <w:szCs w:val="30"/>
        </w:rPr>
        <w:t>万元，用于</w:t>
      </w:r>
      <w:r>
        <w:rPr>
          <w:rFonts w:hint="eastAsia" w:ascii="仿宋_GB2312" w:hAnsi="宋体" w:eastAsia="仿宋_GB2312"/>
          <w:sz w:val="30"/>
          <w:szCs w:val="30"/>
          <w:lang w:eastAsia="zh-CN"/>
        </w:rPr>
        <w:t>农村各项设施建设，</w:t>
      </w:r>
      <w:r>
        <w:rPr>
          <w:rFonts w:hint="eastAsia" w:ascii="仿宋_GB2312" w:hAnsi="宋体" w:eastAsia="仿宋_GB2312"/>
          <w:sz w:val="30"/>
          <w:szCs w:val="30"/>
        </w:rPr>
        <w:t>2018年度实际支付金额</w:t>
      </w:r>
      <w:r>
        <w:rPr>
          <w:rFonts w:hint="eastAsia" w:ascii="仿宋_GB2312" w:hAnsi="宋体" w:eastAsia="仿宋_GB2312"/>
          <w:sz w:val="30"/>
          <w:szCs w:val="30"/>
          <w:lang w:val="en-US" w:eastAsia="zh-CN"/>
        </w:rPr>
        <w:t>1510.22</w:t>
      </w:r>
      <w:r>
        <w:rPr>
          <w:rFonts w:hint="eastAsia" w:ascii="仿宋_GB2312" w:hAnsi="宋体" w:eastAsia="仿宋_GB2312"/>
          <w:sz w:val="30"/>
          <w:szCs w:val="30"/>
        </w:rPr>
        <w:t>万元。</w:t>
      </w:r>
    </w:p>
    <w:p>
      <w:pPr>
        <w:pageBreakBefore w:val="0"/>
        <w:widowControl w:val="0"/>
        <w:kinsoku/>
        <w:wordWrap/>
        <w:overflowPunct/>
        <w:topLinePunct w:val="0"/>
        <w:autoSpaceDE/>
        <w:bidi w:val="0"/>
        <w:adjustRightInd/>
        <w:snapToGrid/>
        <w:spacing w:line="570" w:lineRule="exact"/>
        <w:ind w:firstLine="640" w:firstLineChars="200"/>
        <w:textAlignment w:val="auto"/>
        <w:rPr>
          <w:rFonts w:hint="eastAsia" w:ascii="黑体" w:hAnsi="黑体" w:eastAsia="黑体" w:cs="黑体"/>
          <w:kern w:val="2"/>
          <w:sz w:val="32"/>
          <w:szCs w:val="32"/>
        </w:rPr>
      </w:pPr>
      <w:r>
        <w:rPr>
          <w:rFonts w:hint="eastAsia" w:ascii="黑体" w:hAnsi="黑体" w:eastAsia="黑体" w:cs="黑体"/>
          <w:kern w:val="2"/>
          <w:sz w:val="32"/>
          <w:szCs w:val="32"/>
        </w:rPr>
        <w:t>二、经济效益</w:t>
      </w:r>
    </w:p>
    <w:p>
      <w:pPr>
        <w:pageBreakBefore w:val="0"/>
        <w:shd w:val="solid" w:color="FFFFFF" w:fill="auto"/>
        <w:kinsoku/>
        <w:wordWrap/>
        <w:overflowPunct/>
        <w:topLinePunct w:val="0"/>
        <w:autoSpaceDE/>
        <w:autoSpaceDN w:val="0"/>
        <w:bidi w:val="0"/>
        <w:adjustRightInd/>
        <w:snapToGrid/>
        <w:spacing w:line="570" w:lineRule="exact"/>
        <w:ind w:firstLine="540" w:firstLineChars="180"/>
        <w:textAlignment w:val="auto"/>
        <w:rPr>
          <w:rFonts w:hint="eastAsia" w:ascii="仿宋_GB2312" w:eastAsia="仿宋_GB2312" w:cs="仿宋_GB2312"/>
          <w:kern w:val="2"/>
          <w:sz w:val="30"/>
          <w:szCs w:val="30"/>
        </w:rPr>
      </w:pPr>
      <w:r>
        <w:rPr>
          <w:rFonts w:hint="eastAsia" w:ascii="仿宋_GB2312" w:hAnsi="宋体" w:eastAsia="仿宋_GB2312" w:cs="仿宋_GB2312"/>
          <w:kern w:val="2"/>
          <w:sz w:val="30"/>
          <w:szCs w:val="30"/>
        </w:rPr>
        <w:t>基本公共服务领域主要指标接近全国平均水平。贫困人口自我发展能力和生活水平全面提高，农村基本建成全面小康社会，为长治久安打下坚实基础。主要用于发展畜牧业、种植业及贫困户自主创业。</w:t>
      </w:r>
    </w:p>
    <w:p>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highlight w:val="none"/>
          <w:lang w:eastAsia="zh-CN"/>
        </w:rPr>
      </w:pPr>
      <w:r>
        <w:rPr>
          <w:rFonts w:hint="eastAsia" w:ascii="仿宋_GB2312" w:hAnsi="仿宋_GB2312" w:eastAsia="仿宋_GB2312" w:cs="仿宋_GB2312"/>
          <w:b w:val="0"/>
          <w:bCs w:val="0"/>
          <w:color w:val="000000"/>
          <w:sz w:val="32"/>
          <w:szCs w:val="32"/>
          <w:highlight w:val="none"/>
          <w:lang w:eastAsia="zh-CN"/>
        </w:rPr>
        <w:t>执行率</w:t>
      </w:r>
      <w:r>
        <w:rPr>
          <w:rFonts w:hint="eastAsia" w:ascii="仿宋_GB2312" w:hAnsi="仿宋_GB2312" w:eastAsia="仿宋_GB2312" w:cs="仿宋_GB2312"/>
          <w:b w:val="0"/>
          <w:bCs w:val="0"/>
          <w:color w:val="000000"/>
          <w:sz w:val="32"/>
          <w:szCs w:val="32"/>
          <w:highlight w:val="none"/>
          <w:lang w:val="en-US" w:eastAsia="zh-CN"/>
        </w:rPr>
        <w:t>100%，得分9.9分；</w:t>
      </w:r>
      <w:r>
        <w:rPr>
          <w:rFonts w:hint="eastAsia" w:ascii="仿宋_GB2312" w:hAnsi="仿宋_GB2312" w:eastAsia="仿宋_GB2312" w:cs="仿宋_GB2312"/>
          <w:b w:val="0"/>
          <w:bCs w:val="0"/>
          <w:color w:val="000000"/>
          <w:sz w:val="32"/>
          <w:szCs w:val="32"/>
          <w:highlight w:val="none"/>
          <w:lang w:eastAsia="zh-CN"/>
        </w:rPr>
        <w:t>产出指标完成程度较好，得分</w:t>
      </w:r>
      <w:r>
        <w:rPr>
          <w:rFonts w:hint="eastAsia" w:ascii="仿宋_GB2312" w:hAnsi="仿宋_GB2312" w:eastAsia="仿宋_GB2312" w:cs="仿宋_GB2312"/>
          <w:b w:val="0"/>
          <w:bCs w:val="0"/>
          <w:color w:val="000000"/>
          <w:sz w:val="32"/>
          <w:szCs w:val="32"/>
          <w:highlight w:val="none"/>
          <w:lang w:val="en-US" w:eastAsia="zh-CN"/>
        </w:rPr>
        <w:t>43分；效益指标完成较好，得分28分；满意度指标达到85%以上，得分8分；</w:t>
      </w:r>
      <w:r>
        <w:rPr>
          <w:rFonts w:hint="eastAsia" w:ascii="仿宋_GB2312" w:hAnsi="仿宋_GB2312" w:eastAsia="仿宋_GB2312" w:cs="仿宋_GB2312"/>
          <w:b w:val="0"/>
          <w:bCs w:val="0"/>
          <w:color w:val="000000"/>
          <w:sz w:val="32"/>
          <w:szCs w:val="32"/>
          <w:highlight w:val="none"/>
          <w:lang w:eastAsia="zh-CN"/>
        </w:rPr>
        <w:t>本次自评总分</w:t>
      </w:r>
      <w:r>
        <w:rPr>
          <w:rFonts w:hint="eastAsia" w:ascii="仿宋_GB2312" w:hAnsi="仿宋_GB2312" w:eastAsia="仿宋_GB2312" w:cs="仿宋_GB2312"/>
          <w:b w:val="0"/>
          <w:bCs w:val="0"/>
          <w:color w:val="000000"/>
          <w:sz w:val="32"/>
          <w:szCs w:val="32"/>
          <w:highlight w:val="none"/>
          <w:lang w:val="en-US" w:eastAsia="zh-CN"/>
        </w:rPr>
        <w:t>88.6</w:t>
      </w:r>
      <w:r>
        <w:rPr>
          <w:rFonts w:hint="eastAsia" w:ascii="仿宋_GB2312" w:hAnsi="仿宋_GB2312" w:eastAsia="仿宋_GB2312" w:cs="仿宋_GB2312"/>
          <w:b w:val="0"/>
          <w:bCs w:val="0"/>
          <w:color w:val="000000"/>
          <w:sz w:val="32"/>
          <w:szCs w:val="32"/>
          <w:highlight w:val="none"/>
          <w:lang w:eastAsia="zh-CN"/>
        </w:rPr>
        <w:t>分，总体评价为“良好”。</w:t>
      </w:r>
    </w:p>
    <w:p>
      <w:pPr>
        <w:pageBreakBefore w:val="0"/>
        <w:widowControl w:val="0"/>
        <w:kinsoku/>
        <w:wordWrap/>
        <w:overflowPunct/>
        <w:topLinePunct w:val="0"/>
        <w:autoSpaceDE/>
        <w:bidi w:val="0"/>
        <w:adjustRightInd/>
        <w:snapToGrid/>
        <w:spacing w:line="570" w:lineRule="exact"/>
        <w:ind w:firstLine="640" w:firstLineChars="200"/>
        <w:textAlignment w:val="auto"/>
        <w:rPr>
          <w:rFonts w:hint="eastAsia" w:ascii="黑体" w:hAnsi="黑体" w:eastAsia="黑体" w:cs="黑体"/>
          <w:kern w:val="2"/>
          <w:sz w:val="32"/>
          <w:szCs w:val="32"/>
        </w:rPr>
      </w:pPr>
      <w:r>
        <w:rPr>
          <w:rFonts w:hint="eastAsia" w:ascii="黑体" w:hAnsi="黑体" w:eastAsia="黑体" w:cs="黑体"/>
          <w:kern w:val="2"/>
          <w:sz w:val="32"/>
          <w:szCs w:val="32"/>
        </w:rPr>
        <w:t>三、拨付及使用情况</w:t>
      </w:r>
    </w:p>
    <w:p>
      <w:pPr>
        <w:pageBreakBefore w:val="0"/>
        <w:shd w:val="solid" w:color="FFFFFF" w:fill="auto"/>
        <w:kinsoku/>
        <w:wordWrap/>
        <w:overflowPunct/>
        <w:topLinePunct w:val="0"/>
        <w:autoSpaceDE/>
        <w:autoSpaceDN w:val="0"/>
        <w:bidi w:val="0"/>
        <w:adjustRightInd/>
        <w:snapToGrid/>
        <w:spacing w:line="570" w:lineRule="exact"/>
        <w:ind w:firstLine="540" w:firstLineChars="180"/>
        <w:textAlignment w:val="auto"/>
        <w:rPr>
          <w:rFonts w:hint="eastAsia" w:ascii="仿宋_GB2312" w:eastAsia="仿宋_GB2312" w:cs="仿宋_GB2312"/>
          <w:color w:val="222222"/>
          <w:sz w:val="30"/>
          <w:szCs w:val="30"/>
          <w:shd w:val="clear" w:color="auto" w:fill="FFFFFF"/>
        </w:rPr>
      </w:pPr>
      <w:r>
        <w:rPr>
          <w:rFonts w:hint="eastAsia" w:ascii="仿宋_GB2312" w:hAnsi="宋体" w:eastAsia="仿宋_GB2312" w:cs="仿宋_GB2312"/>
          <w:kern w:val="2"/>
          <w:sz w:val="30"/>
          <w:szCs w:val="30"/>
        </w:rPr>
        <w:t>此项目2018年度资金预算金额为</w:t>
      </w:r>
      <w:r>
        <w:rPr>
          <w:rFonts w:hint="eastAsia" w:ascii="仿宋_GB2312" w:hAnsi="宋体" w:eastAsia="仿宋_GB2312"/>
          <w:sz w:val="30"/>
          <w:szCs w:val="30"/>
          <w:lang w:val="en-US" w:eastAsia="zh-CN"/>
        </w:rPr>
        <w:t>1510.22</w:t>
      </w:r>
      <w:r>
        <w:rPr>
          <w:rFonts w:hint="eastAsia" w:ascii="仿宋_GB2312" w:hAnsi="宋体" w:eastAsia="仿宋_GB2312" w:cs="仿宋_GB2312"/>
          <w:kern w:val="2"/>
          <w:sz w:val="30"/>
          <w:szCs w:val="30"/>
        </w:rPr>
        <w:t>万元，2018年度实际</w:t>
      </w:r>
      <w:r>
        <w:rPr>
          <w:rFonts w:hint="eastAsia" w:ascii="仿宋_GB2312" w:hAnsi="宋体" w:eastAsia="仿宋_GB2312" w:cs="仿宋_GB2312"/>
          <w:kern w:val="2"/>
          <w:sz w:val="30"/>
          <w:szCs w:val="30"/>
          <w:lang w:eastAsia="zh-CN"/>
        </w:rPr>
        <w:t>支付</w:t>
      </w:r>
      <w:r>
        <w:rPr>
          <w:rFonts w:hint="eastAsia" w:ascii="仿宋_GB2312" w:hAnsi="宋体" w:eastAsia="仿宋_GB2312"/>
          <w:sz w:val="30"/>
          <w:szCs w:val="30"/>
          <w:lang w:val="en-US" w:eastAsia="zh-CN"/>
        </w:rPr>
        <w:t>1510.22</w:t>
      </w:r>
      <w:r>
        <w:rPr>
          <w:rFonts w:hint="eastAsia" w:ascii="仿宋_GB2312" w:hAnsi="宋体" w:eastAsia="仿宋_GB2312" w:cs="仿宋_GB2312"/>
          <w:kern w:val="2"/>
          <w:sz w:val="30"/>
          <w:szCs w:val="30"/>
        </w:rPr>
        <w:t>万元，到位资金</w:t>
      </w:r>
      <w:r>
        <w:rPr>
          <w:rFonts w:hint="eastAsia" w:ascii="仿宋_GB2312" w:hAnsi="宋体" w:eastAsia="仿宋_GB2312"/>
          <w:sz w:val="30"/>
          <w:szCs w:val="30"/>
          <w:lang w:val="en-US" w:eastAsia="zh-CN"/>
        </w:rPr>
        <w:t>1510.22</w:t>
      </w:r>
      <w:r>
        <w:rPr>
          <w:rFonts w:hint="eastAsia" w:ascii="仿宋_GB2312" w:hAnsi="宋体" w:eastAsia="仿宋_GB2312" w:cs="仿宋_GB2312"/>
          <w:kern w:val="2"/>
          <w:sz w:val="30"/>
          <w:szCs w:val="30"/>
        </w:rPr>
        <w:t>万元，由县财政直拨到实施单位，项目单位每个季度按时资金到位。</w:t>
      </w:r>
      <w:r>
        <w:rPr>
          <w:rFonts w:hint="eastAsia" w:ascii="仿宋_GB2312" w:hAnsi="宋体" w:eastAsia="仿宋_GB2312" w:cs="仿宋_GB2312"/>
          <w:kern w:val="2"/>
          <w:sz w:val="30"/>
          <w:szCs w:val="30"/>
          <w:lang w:eastAsia="zh-CN"/>
        </w:rPr>
        <w:t>健身</w:t>
      </w:r>
      <w:r>
        <w:rPr>
          <w:rFonts w:hint="eastAsia" w:ascii="仿宋_GB2312" w:hAnsi="宋体" w:eastAsia="仿宋_GB2312" w:cs="仿宋_GB2312"/>
          <w:kern w:val="2"/>
          <w:sz w:val="30"/>
          <w:szCs w:val="30"/>
        </w:rPr>
        <w:t>资金做到了专款专用</w:t>
      </w:r>
      <w:r>
        <w:rPr>
          <w:rFonts w:hint="eastAsia" w:ascii="仿宋_GB2312" w:hAnsi="宋体" w:eastAsia="仿宋_GB2312" w:cs="仿宋_GB2312"/>
          <w:color w:val="222222"/>
          <w:sz w:val="30"/>
          <w:szCs w:val="30"/>
          <w:shd w:val="clear" w:color="auto" w:fill="FFFFFF"/>
        </w:rPr>
        <w:t>。</w:t>
      </w:r>
    </w:p>
    <w:p>
      <w:pPr>
        <w:adjustRightInd w:val="0"/>
        <w:snapToGrid w:val="0"/>
        <w:spacing w:line="360" w:lineRule="auto"/>
        <w:ind w:firstLine="643" w:firstLineChars="200"/>
        <w:rPr>
          <w:rFonts w:hint="eastAsia" w:ascii="仿宋_GB2312" w:hAnsi="仿宋_GB2312" w:eastAsia="仿宋_GB2312" w:cs="仿宋_GB2312"/>
          <w:b/>
          <w:bCs/>
          <w:color w:val="000000"/>
          <w:sz w:val="32"/>
          <w:szCs w:val="32"/>
          <w:highlight w:val="none"/>
          <w:lang w:eastAsia="zh-CN"/>
        </w:rPr>
      </w:pPr>
      <w:r>
        <w:rPr>
          <w:rFonts w:hint="eastAsia" w:ascii="仿宋_GB2312" w:hAnsi="仿宋_GB2312" w:eastAsia="仿宋_GB2312" w:cs="仿宋_GB2312"/>
          <w:b/>
          <w:bCs/>
          <w:color w:val="000000"/>
          <w:sz w:val="32"/>
          <w:szCs w:val="32"/>
          <w:highlight w:val="none"/>
          <w:lang w:eastAsia="zh-CN"/>
        </w:rPr>
        <w:t>五、存在的问题</w:t>
      </w:r>
    </w:p>
    <w:p>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一是项目实施进度缓慢，导致资金支付进度慢。</w:t>
      </w:r>
    </w:p>
    <w:p>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二是对于绩效评价的意义理解认识不深刻，对于扶贫资金开展绩效评价重视程度不够。</w:t>
      </w:r>
    </w:p>
    <w:p>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三是绩效评价体系不够完善，对于绩效评价的熟练掌握不深。</w:t>
      </w:r>
    </w:p>
    <w:p>
      <w:pPr>
        <w:adjustRightInd w:val="0"/>
        <w:snapToGrid w:val="0"/>
        <w:spacing w:line="360" w:lineRule="auto"/>
        <w:ind w:firstLine="643" w:firstLineChars="200"/>
        <w:rPr>
          <w:rFonts w:hint="eastAsia" w:ascii="仿宋_GB2312" w:hAnsi="仿宋_GB2312" w:eastAsia="仿宋_GB2312" w:cs="仿宋_GB2312"/>
          <w:b/>
          <w:bCs/>
          <w:color w:val="000000"/>
          <w:sz w:val="32"/>
          <w:szCs w:val="32"/>
          <w:highlight w:val="none"/>
          <w:lang w:eastAsia="zh-CN"/>
        </w:rPr>
      </w:pPr>
      <w:r>
        <w:rPr>
          <w:rFonts w:hint="eastAsia" w:ascii="仿宋_GB2312" w:hAnsi="仿宋_GB2312" w:eastAsia="仿宋_GB2312" w:cs="仿宋_GB2312"/>
          <w:b/>
          <w:bCs/>
          <w:color w:val="000000"/>
          <w:sz w:val="32"/>
          <w:szCs w:val="32"/>
          <w:highlight w:val="none"/>
          <w:lang w:eastAsia="zh-CN"/>
        </w:rPr>
        <w:t>六、后续工作计划</w:t>
      </w:r>
    </w:p>
    <w:p>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highlight w:val="none"/>
          <w:lang w:eastAsia="zh-CN"/>
        </w:rPr>
      </w:pPr>
      <w:r>
        <w:rPr>
          <w:rFonts w:hint="eastAsia" w:ascii="仿宋_GB2312" w:hAnsi="仿宋_GB2312" w:eastAsia="仿宋_GB2312" w:cs="仿宋_GB2312"/>
          <w:b w:val="0"/>
          <w:bCs w:val="0"/>
          <w:color w:val="000000"/>
          <w:sz w:val="32"/>
          <w:szCs w:val="32"/>
          <w:highlight w:val="none"/>
          <w:lang w:eastAsia="zh-CN"/>
        </w:rPr>
        <w:t>（一）加强学习培训，提升业务能力。由于绩效评价工作要求高，工作量大，涉及项目业务、财务、效益待多方面的专业知识，对财政部门和各预算部门的机构能力和人员素质来说，无疑是一场严峻的考验，只有通过进行多方位多层次的学习培训，努力提高相关人员素质，才能真正将预算绩效管理工作落实到位。下一步计划通过组织第三方绩效评价机构绩效专家对县财政部门及各预算部门开展绩效管理知识培训，采取专家授课、辅导和案例剖析等方式，全面展开培训工作，不断提升绩效人员专业能力。另外，适时组织各部门业务骨干到预算绩效管理相对先进的地区进行考察交流和实地调研，使理论与实践相结合，不断积累先进管理经验。</w:t>
      </w:r>
    </w:p>
    <w:p>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highlight w:val="none"/>
          <w:lang w:eastAsia="zh-CN"/>
        </w:rPr>
      </w:pPr>
      <w:r>
        <w:rPr>
          <w:rFonts w:hint="eastAsia" w:ascii="仿宋_GB2312" w:hAnsi="仿宋_GB2312" w:eastAsia="仿宋_GB2312" w:cs="仿宋_GB2312"/>
          <w:b w:val="0"/>
          <w:bCs w:val="0"/>
          <w:color w:val="000000"/>
          <w:sz w:val="32"/>
          <w:szCs w:val="32"/>
          <w:highlight w:val="none"/>
          <w:lang w:eastAsia="zh-CN"/>
        </w:rPr>
        <w:t xml:space="preserve"> (二)完善指标体系，规范评价标准。按照“预算编制有目标、预算执行有监控、预算完成有评价、评价结果有反馈、反馈结果有应用”的全过程预算绩效管理机制总体要求，财政部门和项目主管单位要准确把握绩效管理的制度规定，积极探索适用于不同单位、不同项目的绩效指标，逐步建立涵盖各类各项支出、符合目标内容、突出绩效特色、细化量化、便于考核的统一规范的绩效评价指标体系。</w:t>
      </w:r>
    </w:p>
    <w:p>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highlight w:val="none"/>
          <w:lang w:eastAsia="zh-CN"/>
        </w:rPr>
      </w:pPr>
      <w:r>
        <w:rPr>
          <w:rFonts w:hint="eastAsia" w:ascii="仿宋_GB2312" w:hAnsi="仿宋_GB2312" w:eastAsia="仿宋_GB2312" w:cs="仿宋_GB2312"/>
          <w:b w:val="0"/>
          <w:bCs w:val="0"/>
          <w:color w:val="000000"/>
          <w:sz w:val="32"/>
          <w:szCs w:val="32"/>
          <w:highlight w:val="none"/>
          <w:lang w:eastAsia="zh-CN"/>
        </w:rPr>
        <w:t>(三) 进一步完善预算绩效管理流程。围绕预算管理的主要内容和环节，完善涵盖绩效目标管理、绩效运行监控、绩效评价管理、评价结果应用等各环节的管理流程，引入第三方机构参与预算绩效管理，增强绩效评价工作的科学性和规范性，提高绩效评价结果的公信力和社会影响力，充分发挥各方的力量和优势，全面推动预算绩效管理工作有序开展。</w:t>
      </w:r>
    </w:p>
    <w:p>
      <w:pPr>
        <w:adjustRightInd w:val="0"/>
        <w:snapToGrid w:val="0"/>
        <w:spacing w:line="360" w:lineRule="auto"/>
        <w:rPr>
          <w:rFonts w:hint="eastAsia" w:ascii="仿宋_GB2312" w:hAnsi="仿宋_GB2312" w:eastAsia="仿宋_GB2312" w:cs="仿宋_GB2312"/>
          <w:b w:val="0"/>
          <w:bCs w:val="0"/>
          <w:color w:val="000000"/>
          <w:sz w:val="32"/>
          <w:szCs w:val="32"/>
          <w:highlight w:val="none"/>
          <w:lang w:eastAsia="zh-CN"/>
        </w:rPr>
      </w:pPr>
    </w:p>
    <w:p>
      <w:pPr>
        <w:adjustRightInd w:val="0"/>
        <w:snapToGrid w:val="0"/>
        <w:spacing w:line="360" w:lineRule="auto"/>
        <w:rPr>
          <w:rFonts w:hint="eastAsia" w:ascii="仿宋_GB2312" w:hAnsi="仿宋_GB2312" w:eastAsia="仿宋_GB2312" w:cs="仿宋_GB2312"/>
          <w:b w:val="0"/>
          <w:bCs w:val="0"/>
          <w:color w:val="000000"/>
          <w:sz w:val="32"/>
          <w:szCs w:val="32"/>
          <w:highlight w:val="none"/>
          <w:lang w:eastAsia="zh-CN"/>
        </w:rPr>
      </w:pPr>
    </w:p>
    <w:p>
      <w:pPr>
        <w:adjustRightInd w:val="0"/>
        <w:snapToGrid w:val="0"/>
        <w:spacing w:line="360" w:lineRule="auto"/>
        <w:ind w:firstLine="3840" w:firstLineChars="1200"/>
        <w:rPr>
          <w:rFonts w:hint="eastAsia" w:ascii="仿宋_GB2312" w:hAnsi="仿宋_GB2312" w:eastAsia="仿宋_GB2312" w:cs="仿宋_GB2312"/>
          <w:b w:val="0"/>
          <w:bCs w:val="0"/>
          <w:color w:val="000000"/>
          <w:sz w:val="32"/>
          <w:szCs w:val="32"/>
          <w:highlight w:val="none"/>
          <w:lang w:eastAsia="zh-CN"/>
        </w:rPr>
      </w:pPr>
      <w:r>
        <w:rPr>
          <w:rFonts w:hint="eastAsia" w:ascii="仿宋_GB2312" w:hAnsi="仿宋_GB2312" w:eastAsia="仿宋_GB2312" w:cs="仿宋_GB2312"/>
          <w:b w:val="0"/>
          <w:bCs w:val="0"/>
          <w:color w:val="000000"/>
          <w:sz w:val="32"/>
          <w:szCs w:val="32"/>
          <w:highlight w:val="none"/>
          <w:lang w:eastAsia="zh-CN"/>
        </w:rPr>
        <w:t>英吉沙县扶贫开发办公室</w:t>
      </w:r>
    </w:p>
    <w:p>
      <w:pPr>
        <w:adjustRightInd w:val="0"/>
        <w:snapToGrid w:val="0"/>
        <w:spacing w:line="360" w:lineRule="auto"/>
        <w:ind w:firstLine="4480" w:firstLineChars="1400"/>
        <w:rPr>
          <w:rFonts w:hint="eastAsia" w:ascii="仿宋_GB2312" w:hAnsi="仿宋_GB2312" w:eastAsia="仿宋_GB2312" w:cs="仿宋_GB2312"/>
          <w:b w:val="0"/>
          <w:bCs w:val="0"/>
          <w:color w:val="000000"/>
          <w:sz w:val="32"/>
          <w:szCs w:val="32"/>
          <w:highlight w:val="none"/>
          <w:lang w:eastAsia="zh-CN"/>
        </w:rPr>
      </w:pPr>
      <w:r>
        <w:rPr>
          <w:rFonts w:hint="eastAsia" w:ascii="仿宋_GB2312" w:hAnsi="仿宋_GB2312" w:eastAsia="仿宋_GB2312" w:cs="仿宋_GB2312"/>
          <w:b w:val="0"/>
          <w:bCs w:val="0"/>
          <w:color w:val="000000"/>
          <w:sz w:val="32"/>
          <w:szCs w:val="32"/>
          <w:highlight w:val="none"/>
          <w:lang w:eastAsia="zh-CN"/>
        </w:rPr>
        <w:t>201</w:t>
      </w:r>
      <w:r>
        <w:rPr>
          <w:rFonts w:hint="eastAsia" w:ascii="仿宋_GB2312" w:hAnsi="仿宋_GB2312" w:eastAsia="仿宋_GB2312" w:cs="仿宋_GB2312"/>
          <w:b w:val="0"/>
          <w:bCs w:val="0"/>
          <w:color w:val="000000"/>
          <w:sz w:val="32"/>
          <w:szCs w:val="32"/>
          <w:highlight w:val="none"/>
          <w:lang w:val="en-US" w:eastAsia="zh-CN"/>
        </w:rPr>
        <w:t>9</w:t>
      </w:r>
      <w:r>
        <w:rPr>
          <w:rFonts w:hint="eastAsia" w:ascii="仿宋_GB2312" w:hAnsi="仿宋_GB2312" w:eastAsia="仿宋_GB2312" w:cs="仿宋_GB2312"/>
          <w:b w:val="0"/>
          <w:bCs w:val="0"/>
          <w:color w:val="000000"/>
          <w:sz w:val="32"/>
          <w:szCs w:val="32"/>
          <w:highlight w:val="none"/>
          <w:lang w:eastAsia="zh-CN"/>
        </w:rPr>
        <w:t>年</w:t>
      </w:r>
      <w:r>
        <w:rPr>
          <w:rFonts w:hint="eastAsia" w:ascii="仿宋_GB2312" w:hAnsi="仿宋_GB2312" w:eastAsia="仿宋_GB2312" w:cs="仿宋_GB2312"/>
          <w:b w:val="0"/>
          <w:bCs w:val="0"/>
          <w:color w:val="000000"/>
          <w:sz w:val="32"/>
          <w:szCs w:val="32"/>
          <w:highlight w:val="none"/>
          <w:lang w:val="en-US" w:eastAsia="zh-CN"/>
        </w:rPr>
        <w:t>9</w:t>
      </w:r>
      <w:r>
        <w:rPr>
          <w:rFonts w:hint="eastAsia" w:ascii="仿宋_GB2312" w:hAnsi="仿宋_GB2312" w:eastAsia="仿宋_GB2312" w:cs="仿宋_GB2312"/>
          <w:b w:val="0"/>
          <w:bCs w:val="0"/>
          <w:color w:val="000000"/>
          <w:sz w:val="32"/>
          <w:szCs w:val="32"/>
          <w:highlight w:val="none"/>
          <w:lang w:eastAsia="zh-CN"/>
        </w:rPr>
        <w:t>月</w:t>
      </w:r>
      <w:r>
        <w:rPr>
          <w:rFonts w:hint="eastAsia" w:ascii="仿宋_GB2312" w:hAnsi="仿宋_GB2312" w:eastAsia="仿宋_GB2312" w:cs="仿宋_GB2312"/>
          <w:b w:val="0"/>
          <w:bCs w:val="0"/>
          <w:color w:val="000000"/>
          <w:sz w:val="32"/>
          <w:szCs w:val="32"/>
          <w:highlight w:val="none"/>
          <w:lang w:val="en-US" w:eastAsia="zh-CN"/>
        </w:rPr>
        <w:t>17</w:t>
      </w:r>
      <w:r>
        <w:rPr>
          <w:rFonts w:hint="eastAsia" w:ascii="仿宋_GB2312" w:hAnsi="仿宋_GB2312" w:eastAsia="仿宋_GB2312" w:cs="仿宋_GB2312"/>
          <w:b w:val="0"/>
          <w:bCs w:val="0"/>
          <w:color w:val="000000"/>
          <w:sz w:val="32"/>
          <w:szCs w:val="32"/>
          <w:highlight w:val="none"/>
          <w:lang w:eastAsia="zh-CN"/>
        </w:rPr>
        <w:t>日</w:t>
      </w:r>
    </w:p>
    <w:p>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highlight w:val="none"/>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9593334"/>
    </w:sdtPr>
    <w:sdtEndPr>
      <w:rPr>
        <w:rFonts w:asciiTheme="minorEastAsia" w:hAnsiTheme="minorEastAsia"/>
        <w:sz w:val="28"/>
        <w:szCs w:val="28"/>
      </w:rPr>
    </w:sdtEndPr>
    <w:sdtContent>
      <w:p>
        <w:pPr>
          <w:pStyle w:val="4"/>
          <w:jc w:val="center"/>
          <w:rPr>
            <w:rFonts w:asciiTheme="minorEastAsia" w:hAnsiTheme="minorEastAsia"/>
            <w:sz w:val="28"/>
            <w:szCs w:val="28"/>
          </w:rPr>
        </w:pPr>
        <w:r>
          <w:rPr>
            <w:rFonts w:hint="eastAsia" w:asciiTheme="minorEastAsia" w:hAnsiTheme="minorEastAsia"/>
            <w:sz w:val="28"/>
            <w:szCs w:val="28"/>
          </w:rPr>
          <w:t>—</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3</w:t>
        </w:r>
        <w:r>
          <w:rPr>
            <w:rFonts w:asciiTheme="minorEastAsia" w:hAnsiTheme="minorEastAsia"/>
            <w:sz w:val="28"/>
            <w:szCs w:val="28"/>
          </w:rPr>
          <w:fldChar w:fldCharType="end"/>
        </w:r>
        <w:r>
          <w:rPr>
            <w:rFonts w:hint="eastAsia" w:asciiTheme="minorEastAsia" w:hAnsiTheme="minorEastAsia"/>
            <w:sz w:val="28"/>
            <w:szCs w:val="28"/>
          </w:rPr>
          <w:t>—</w:t>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D63A3C"/>
    <w:rsid w:val="00213BE5"/>
    <w:rsid w:val="00275828"/>
    <w:rsid w:val="0030762A"/>
    <w:rsid w:val="00402803"/>
    <w:rsid w:val="00421D1B"/>
    <w:rsid w:val="005B248A"/>
    <w:rsid w:val="006B5728"/>
    <w:rsid w:val="008E1540"/>
    <w:rsid w:val="00946D9F"/>
    <w:rsid w:val="00DA3F58"/>
    <w:rsid w:val="00EE1654"/>
    <w:rsid w:val="00F22D53"/>
    <w:rsid w:val="00FA3A4C"/>
    <w:rsid w:val="00FC63D9"/>
    <w:rsid w:val="0BDB785E"/>
    <w:rsid w:val="0D6C0EFA"/>
    <w:rsid w:val="13AC71CE"/>
    <w:rsid w:val="15464A72"/>
    <w:rsid w:val="16D0087E"/>
    <w:rsid w:val="1B2353F6"/>
    <w:rsid w:val="1FE27ED9"/>
    <w:rsid w:val="23D63A3C"/>
    <w:rsid w:val="282E2D28"/>
    <w:rsid w:val="2D7C5DED"/>
    <w:rsid w:val="2E6D14DC"/>
    <w:rsid w:val="36BE3307"/>
    <w:rsid w:val="37606972"/>
    <w:rsid w:val="3B8629A6"/>
    <w:rsid w:val="40B03991"/>
    <w:rsid w:val="41EA59EE"/>
    <w:rsid w:val="4EFE23EF"/>
    <w:rsid w:val="513876B4"/>
    <w:rsid w:val="59662CF1"/>
    <w:rsid w:val="5A207AEE"/>
    <w:rsid w:val="633D3C12"/>
    <w:rsid w:val="712E0F30"/>
    <w:rsid w:val="72B840D7"/>
    <w:rsid w:val="741F2695"/>
    <w:rsid w:val="74671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4"/>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line="600" w:lineRule="exact"/>
      <w:ind w:firstLine="200" w:firstLineChars="200"/>
      <w:outlineLvl w:val="1"/>
    </w:pPr>
    <w:rPr>
      <w:rFonts w:ascii="Arial" w:hAnsi="Arial"/>
      <w:b/>
      <w:sz w:val="30"/>
    </w:rPr>
  </w:style>
  <w:style w:type="paragraph" w:styleId="2">
    <w:name w:val="heading 3"/>
    <w:basedOn w:val="1"/>
    <w:next w:val="1"/>
    <w:qFormat/>
    <w:uiPriority w:val="99"/>
    <w:pPr>
      <w:keepNext/>
      <w:keepLines/>
      <w:ind w:firstLine="200" w:firstLineChars="200"/>
      <w:outlineLvl w:val="2"/>
    </w:pPr>
    <w:rPr>
      <w:rFonts w:ascii="仿宋" w:hAnsi="仿宋" w:cs="宋体"/>
      <w:color w:val="FF0000"/>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paragraph" w:customStyle="1" w:styleId="10">
    <w:name w:val="列出段落1"/>
    <w:basedOn w:val="1"/>
    <w:qFormat/>
    <w:uiPriority w:val="0"/>
    <w:pPr>
      <w:spacing w:line="1434" w:lineRule="atLeast"/>
      <w:ind w:firstLine="200" w:firstLineChars="200"/>
      <w:textAlignment w:val="baseline"/>
    </w:pPr>
    <w:rPr>
      <w:rFonts w:cs="Times New Roman"/>
      <w:color w:val="000000"/>
      <w:szCs w:val="21"/>
      <w:u w:color="000000"/>
    </w:rPr>
  </w:style>
  <w:style w:type="character" w:customStyle="1" w:styleId="11">
    <w:name w:val="页眉 字符"/>
    <w:basedOn w:val="8"/>
    <w:link w:val="5"/>
    <w:qFormat/>
    <w:uiPriority w:val="0"/>
    <w:rPr>
      <w:rFonts w:asciiTheme="minorHAnsi" w:hAnsiTheme="minorHAnsi" w:eastAsiaTheme="minorEastAsia" w:cstheme="minorBidi"/>
      <w:kern w:val="2"/>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421</Words>
  <Characters>2400</Characters>
  <Lines>20</Lines>
  <Paragraphs>5</Paragraphs>
  <TotalTime>0</TotalTime>
  <ScaleCrop>false</ScaleCrop>
  <LinksUpToDate>false</LinksUpToDate>
  <CharactersWithSpaces>2816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2018-12-05T04:26:00Z</dcterms:created>
  <dc:creator>Administrator</dc:creator>
  <cp:lastModifiedBy>陌陌</cp:lastModifiedBy>
  <dcterms:modified xsi:type="dcterms:W3CDTF">2019-09-17T14:12:36Z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